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ГОСУДАРСТВЕННОГО БЮДЖЕТНОГО </w:t>
      </w: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«УДМУРТСКИЙ ГОСУДАРСТВЕННЫЙ УНИВЕРСИТЕТ» В Г. МОЖГЕ</w:t>
      </w: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2A6E82" w:rsidRDefault="002A6E82" w:rsidP="002A6E82">
      <w:pPr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A6E82" w:rsidRDefault="002A6E82" w:rsidP="002A6E8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2A6E82" w:rsidRDefault="002A6E82" w:rsidP="002A6E8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«___»_______________________20 </w:t>
      </w:r>
      <w:proofErr w:type="spellStart"/>
      <w:r>
        <w:rPr>
          <w:rFonts w:ascii="Times New Roman" w:hAnsi="Times New Roman"/>
          <w:sz w:val="28"/>
          <w:szCs w:val="28"/>
        </w:rPr>
        <w:t>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6E82" w:rsidRDefault="002A6E82" w:rsidP="002A6E82">
      <w:pPr>
        <w:rPr>
          <w:rFonts w:ascii="Times New Roman" w:hAnsi="Times New Roman"/>
          <w:b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E82" w:rsidRDefault="002A6E82" w:rsidP="002A6E82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2A6E82" w:rsidRDefault="002A6E82" w:rsidP="002A6E82">
      <w:pPr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pStyle w:val="a3"/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Международное частное право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40.03.01 Юриспруденция                                             </w:t>
      </w: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выпускника</w:t>
      </w: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</w:t>
      </w: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2A6E82" w:rsidRDefault="002A6E82" w:rsidP="002A6E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заочная</w:t>
      </w:r>
    </w:p>
    <w:p w:rsidR="002A6E82" w:rsidRDefault="002A6E82" w:rsidP="002A6E82">
      <w:pPr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rPr>
          <w:rFonts w:ascii="Times New Roman" w:hAnsi="Times New Roman"/>
          <w:sz w:val="28"/>
          <w:szCs w:val="28"/>
        </w:rPr>
      </w:pPr>
    </w:p>
    <w:p w:rsidR="002A6E82" w:rsidRDefault="002A6E82" w:rsidP="002A6E8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Можга,  2015</w:t>
      </w:r>
    </w:p>
    <w:p w:rsidR="002A6E82" w:rsidRDefault="002A6E82" w:rsidP="002A6E82">
      <w:pPr>
        <w:rPr>
          <w:rFonts w:ascii="Times New Roman" w:hAnsi="Times New Roman"/>
          <w:b/>
          <w:sz w:val="28"/>
          <w:szCs w:val="28"/>
        </w:rPr>
      </w:pPr>
    </w:p>
    <w:p w:rsidR="00911CCB" w:rsidRPr="006555DD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6555DD">
        <w:rPr>
          <w:rFonts w:ascii="Times New Roman" w:hAnsi="Times New Roman"/>
          <w:b/>
          <w:bCs/>
          <w:lang w:eastAsia="ru-RU"/>
        </w:rPr>
        <w:lastRenderedPageBreak/>
        <w:t>Задания для контрольных работ</w:t>
      </w:r>
      <w:r>
        <w:rPr>
          <w:rFonts w:ascii="Times New Roman" w:hAnsi="Times New Roman"/>
          <w:b/>
          <w:bCs/>
          <w:lang w:eastAsia="ru-RU"/>
        </w:rPr>
        <w:t xml:space="preserve"> по дисциплине «Международное частное право»</w:t>
      </w:r>
    </w:p>
    <w:p w:rsidR="00911CCB" w:rsidRPr="006555DD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</w:p>
    <w:p w:rsidR="00911CCB" w:rsidRPr="006555DD" w:rsidRDefault="00911CCB" w:rsidP="00911CCB">
      <w:pPr>
        <w:overflowPunct w:val="0"/>
        <w:ind w:firstLine="708"/>
        <w:jc w:val="both"/>
        <w:textAlignment w:val="baseline"/>
        <w:rPr>
          <w:rFonts w:ascii="Times New Roman" w:hAnsi="Times New Roman"/>
          <w:lang w:eastAsia="ru-RU"/>
        </w:rPr>
      </w:pPr>
      <w:r w:rsidRPr="006555DD">
        <w:rPr>
          <w:rFonts w:ascii="Times New Roman" w:hAnsi="Times New Roman"/>
          <w:lang w:eastAsia="ru-RU"/>
        </w:rPr>
        <w:t>Учебный план предусматривает выполнение студентами, обучающимися на заочном отделении, контрольной работы. Успешное выполнение этих заданий   является допуском к экзамену по дисциплине «Международное частное право».</w:t>
      </w:r>
    </w:p>
    <w:p w:rsidR="00911CCB" w:rsidRPr="006555DD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  <w:r w:rsidRPr="006555DD">
        <w:rPr>
          <w:rFonts w:ascii="Times New Roman" w:hAnsi="Times New Roman"/>
          <w:lang w:eastAsia="ru-RU"/>
        </w:rPr>
        <w:t xml:space="preserve">Поскольку количество учебных часов для студентов заочной формы обучения меньше, чем для студентов дневной формы, выполнение заданий помогает учащимся пополнить и углубить теоретические знания, полученные в ходе лекций и семинарских занятий, приобрести практические навыки применения норм международного частного права.     </w:t>
      </w:r>
    </w:p>
    <w:p w:rsidR="00911CCB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  <w:r w:rsidRPr="006555DD">
        <w:rPr>
          <w:rFonts w:ascii="Times New Roman" w:hAnsi="Times New Roman"/>
          <w:lang w:eastAsia="ru-RU"/>
        </w:rPr>
        <w:t xml:space="preserve">      Выполнение контрольной работы  предполагает самостоятельную работу студента. Для успешного выполнения заданий студентам необходимо сначала ознакомиться с теоретическим материалом, </w:t>
      </w:r>
      <w:r w:rsidRPr="006555DD">
        <w:rPr>
          <w:rFonts w:ascii="Times New Roman" w:hAnsi="Times New Roman"/>
          <w:b/>
          <w:bCs/>
          <w:lang w:eastAsia="ru-RU"/>
        </w:rPr>
        <w:t>самостоятельно</w:t>
      </w:r>
      <w:r w:rsidRPr="006555DD">
        <w:rPr>
          <w:rFonts w:ascii="Times New Roman" w:hAnsi="Times New Roman"/>
          <w:lang w:eastAsia="ru-RU"/>
        </w:rPr>
        <w:t xml:space="preserve"> выбрать и изучить источники международного частного права к задаче, а также доктринальные источники и использовать их при выполнении заданий. Ответы на порученные студентам задания или на заданные вопросы должны быть полными и </w:t>
      </w:r>
      <w:r w:rsidRPr="006555DD">
        <w:rPr>
          <w:rFonts w:ascii="Times New Roman" w:hAnsi="Times New Roman"/>
          <w:b/>
          <w:bCs/>
          <w:lang w:eastAsia="ru-RU"/>
        </w:rPr>
        <w:t xml:space="preserve">обоснованными, т.е. </w:t>
      </w:r>
      <w:r w:rsidRPr="006555DD">
        <w:rPr>
          <w:rFonts w:ascii="Times New Roman" w:hAnsi="Times New Roman"/>
          <w:lang w:eastAsia="ru-RU"/>
        </w:rPr>
        <w:t xml:space="preserve">не будут зачтены такие односложные ответы, как «да» или «нет».  </w:t>
      </w:r>
    </w:p>
    <w:p w:rsidR="00911CCB" w:rsidRPr="006555DD" w:rsidRDefault="00911CCB" w:rsidP="00911CCB">
      <w:pPr>
        <w:overflowPunct w:val="0"/>
        <w:ind w:firstLine="708"/>
        <w:jc w:val="both"/>
        <w:textAlignment w:val="baseline"/>
        <w:rPr>
          <w:rFonts w:ascii="Times New Roman" w:hAnsi="Times New Roman"/>
          <w:bCs/>
          <w:lang w:eastAsia="ru-RU"/>
        </w:rPr>
      </w:pPr>
      <w:r w:rsidRPr="006555DD">
        <w:rPr>
          <w:rFonts w:ascii="Times New Roman" w:hAnsi="Times New Roman"/>
          <w:bCs/>
          <w:lang w:eastAsia="ru-RU"/>
        </w:rPr>
        <w:t xml:space="preserve">Задача представляет собой казус (случай из судебной практики). Решение задач представляет собой ответ на вопрос (вопросы) сформулированный в ней. При этом следует указать конкретную норму, конкретного нормативного </w:t>
      </w:r>
      <w:proofErr w:type="gramStart"/>
      <w:r w:rsidRPr="006555DD">
        <w:rPr>
          <w:rFonts w:ascii="Times New Roman" w:hAnsi="Times New Roman"/>
          <w:bCs/>
          <w:lang w:eastAsia="ru-RU"/>
        </w:rPr>
        <w:t>акта</w:t>
      </w:r>
      <w:proofErr w:type="gramEnd"/>
      <w:r w:rsidRPr="006555DD">
        <w:rPr>
          <w:rFonts w:ascii="Times New Roman" w:hAnsi="Times New Roman"/>
          <w:bCs/>
          <w:lang w:eastAsia="ru-RU"/>
        </w:rPr>
        <w:t xml:space="preserve"> на основе которой вынесено решение. При решении задачи необходимо показать всю логику ее решения (последовательность действий).</w:t>
      </w:r>
    </w:p>
    <w:p w:rsidR="00911CCB" w:rsidRPr="006555DD" w:rsidRDefault="00911CCB" w:rsidP="00911CCB">
      <w:pPr>
        <w:overflowPunct w:val="0"/>
        <w:ind w:firstLine="708"/>
        <w:jc w:val="both"/>
        <w:textAlignment w:val="baseline"/>
        <w:rPr>
          <w:rFonts w:ascii="Times New Roman" w:hAnsi="Times New Roman"/>
          <w:lang w:eastAsia="ru-RU"/>
        </w:rPr>
      </w:pPr>
      <w:r w:rsidRPr="006555DD">
        <w:rPr>
          <w:rFonts w:ascii="Times New Roman" w:hAnsi="Times New Roman"/>
          <w:lang w:eastAsia="ru-RU"/>
        </w:rPr>
        <w:t>Необходимым условием успешного выполнения заданий является обязательная предварительная подготовка к ним, предполагающая изучение материала по соответствующей теме.</w:t>
      </w:r>
    </w:p>
    <w:p w:rsidR="00911CCB" w:rsidRPr="006555DD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  <w:r w:rsidRPr="006555DD">
        <w:rPr>
          <w:rFonts w:ascii="Times New Roman" w:hAnsi="Times New Roman"/>
          <w:lang w:eastAsia="ru-RU"/>
        </w:rPr>
        <w:t xml:space="preserve">Задание первого варианта предназначено для студентов, чьи фамилии начинаются на буквы «А» - «Д». Задания второго варианта для студентов – на буквы  «Е» - «К». Третий вариант – буквы  «Л» - «Р», четвертый вариант -  «С» - «Я». </w:t>
      </w:r>
    </w:p>
    <w:p w:rsidR="00911CCB" w:rsidRDefault="00911CCB" w:rsidP="00911CCB">
      <w:pPr>
        <w:ind w:firstLine="720"/>
        <w:jc w:val="both"/>
        <w:rPr>
          <w:rFonts w:cs="Times New Roman CYR"/>
          <w:sz w:val="28"/>
          <w:szCs w:val="28"/>
        </w:rPr>
      </w:pPr>
    </w:p>
    <w:p w:rsidR="00911CCB" w:rsidRPr="00F00D0C" w:rsidRDefault="00911CCB" w:rsidP="00911CCB">
      <w:pPr>
        <w:ind w:firstLine="720"/>
        <w:jc w:val="both"/>
        <w:rPr>
          <w:bCs/>
          <w:sz w:val="28"/>
          <w:szCs w:val="28"/>
        </w:rPr>
      </w:pPr>
    </w:p>
    <w:p w:rsidR="00911CCB" w:rsidRPr="00294D3E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294D3E">
        <w:rPr>
          <w:rFonts w:ascii="Times New Roman" w:hAnsi="Times New Roman"/>
          <w:b/>
          <w:bCs/>
          <w:lang w:eastAsia="ru-RU"/>
        </w:rPr>
        <w:t xml:space="preserve">Вариант 1 </w:t>
      </w:r>
    </w:p>
    <w:p w:rsidR="00911CCB" w:rsidRPr="00C903F6" w:rsidRDefault="00911CCB" w:rsidP="00911CCB">
      <w:pPr>
        <w:ind w:firstLine="720"/>
        <w:jc w:val="both"/>
        <w:rPr>
          <w:rFonts w:cs="Times New Roman CYR"/>
        </w:rPr>
      </w:pPr>
      <w:r w:rsidRPr="00C903F6">
        <w:rPr>
          <w:rFonts w:cs="Times New Roman CYR"/>
          <w:b/>
        </w:rPr>
        <w:t>Задача 1.</w:t>
      </w:r>
      <w:r w:rsidRPr="00C903F6">
        <w:rPr>
          <w:rFonts w:cs="Times New Roman CYR"/>
        </w:rPr>
        <w:t xml:space="preserve"> Гражданка России Сидорова вступила в брак с гражданином Болгарии </w:t>
      </w:r>
      <w:proofErr w:type="spellStart"/>
      <w:r w:rsidRPr="00C903F6">
        <w:rPr>
          <w:rFonts w:cs="Times New Roman CYR"/>
        </w:rPr>
        <w:t>Киркоровым</w:t>
      </w:r>
      <w:proofErr w:type="spellEnd"/>
      <w:r w:rsidRPr="00C903F6">
        <w:rPr>
          <w:rFonts w:cs="Times New Roman CYR"/>
        </w:rPr>
        <w:t xml:space="preserve">. Брак был зарегистрирован в Болгарии. От этого брака родилось двое детей: старший – в России, а младший – в Болгарии. Последним местом жительства супругов была Болгария. Затем Сидорова, расставшись с </w:t>
      </w:r>
      <w:proofErr w:type="spellStart"/>
      <w:r w:rsidRPr="00C903F6">
        <w:rPr>
          <w:rFonts w:cs="Times New Roman CYR"/>
        </w:rPr>
        <w:t>Киркоровым</w:t>
      </w:r>
      <w:proofErr w:type="spellEnd"/>
      <w:r w:rsidRPr="00C903F6">
        <w:rPr>
          <w:rFonts w:cs="Times New Roman CYR"/>
        </w:rPr>
        <w:t xml:space="preserve">, уехала в Россию и предъявила в Казани, по постоянному месту жительства, иск к </w:t>
      </w:r>
      <w:proofErr w:type="spellStart"/>
      <w:r w:rsidRPr="00C903F6">
        <w:rPr>
          <w:rFonts w:cs="Times New Roman CYR"/>
        </w:rPr>
        <w:t>Киркорову</w:t>
      </w:r>
      <w:proofErr w:type="spellEnd"/>
      <w:r w:rsidRPr="00C903F6">
        <w:rPr>
          <w:rFonts w:cs="Times New Roman CYR"/>
        </w:rPr>
        <w:t xml:space="preserve"> о взыскании алиментов на детей.</w:t>
      </w:r>
    </w:p>
    <w:p w:rsidR="00911CCB" w:rsidRPr="00C903F6" w:rsidRDefault="00911CCB" w:rsidP="00911CCB">
      <w:pPr>
        <w:jc w:val="both"/>
        <w:rPr>
          <w:rFonts w:cs="Times New Roman CYR"/>
          <w:i/>
          <w:iCs/>
        </w:rPr>
      </w:pPr>
      <w:r w:rsidRPr="00C903F6">
        <w:rPr>
          <w:rFonts w:cs="Times New Roman CYR"/>
          <w:i/>
          <w:iCs/>
        </w:rPr>
        <w:t>Определите подлежащее применению право, на основании коллизионных норм.</w:t>
      </w: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</w:rPr>
        <w:t>Задача 2</w:t>
      </w:r>
      <w:r w:rsidRPr="00C903F6">
        <w:rPr>
          <w:rFonts w:cs="Times New Roman CYR"/>
          <w:b/>
        </w:rPr>
        <w:t>.</w:t>
      </w:r>
      <w:r w:rsidRPr="00C903F6">
        <w:rPr>
          <w:rFonts w:cs="Times New Roman CYR"/>
        </w:rPr>
        <w:t xml:space="preserve"> Дворец княгини Ольги Палей в Царском Селе, в котором находилось собрание мебели и предметов искусства значительной ценности, после Октябрьской революции был национализирован. Затем часть предметов была продана за границей в конце 20-х годов по решению советского правительства. В 1928 г. О.Палей обнаружила их у г-на </w:t>
      </w:r>
      <w:proofErr w:type="spellStart"/>
      <w:r w:rsidRPr="00C903F6">
        <w:rPr>
          <w:rFonts w:cs="Times New Roman CYR"/>
        </w:rPr>
        <w:t>Вайса</w:t>
      </w:r>
      <w:proofErr w:type="spellEnd"/>
      <w:r w:rsidRPr="00C903F6">
        <w:rPr>
          <w:rFonts w:cs="Times New Roman CYR"/>
        </w:rPr>
        <w:t xml:space="preserve"> и др. лиц и предъявила иск об истребовании, как она считала, принадлежавшего ей имущества от покупателей предметов искусства.</w:t>
      </w: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 w:rsidRPr="00C903F6">
        <w:rPr>
          <w:rFonts w:cs="Times New Roman CYR"/>
        </w:rPr>
        <w:t>Решением суда первой инстанции иск был отклонен и поданная в дальнейшем апелляционная жалоба была также отклонена, несмотря на то, что английские суды квалифицировали акты о национализации как карательные мероприятия, которые не могут иметь силы за пределами того государства, где они были приняты.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proofErr w:type="gramStart"/>
      <w:r w:rsidRPr="00C903F6">
        <w:rPr>
          <w:rFonts w:cs="Times New Roman CYR"/>
          <w:i/>
          <w:iCs/>
        </w:rPr>
        <w:t>Объясните</w:t>
      </w:r>
      <w:proofErr w:type="gramEnd"/>
      <w:r w:rsidRPr="00C903F6">
        <w:rPr>
          <w:rFonts w:cs="Times New Roman CYR"/>
          <w:i/>
          <w:iCs/>
        </w:rPr>
        <w:t xml:space="preserve"> почему в таком случае в удовлетворении иска О.Палей было отказано?</w:t>
      </w:r>
    </w:p>
    <w:p w:rsidR="00911CCB" w:rsidRPr="00294D3E" w:rsidRDefault="00911CCB" w:rsidP="00911CCB">
      <w:pPr>
        <w:overflowPunct w:val="0"/>
        <w:ind w:firstLine="708"/>
        <w:jc w:val="both"/>
        <w:textAlignment w:val="baseline"/>
        <w:rPr>
          <w:rFonts w:ascii="Times New Roman" w:hAnsi="Times New Roman"/>
          <w:b/>
          <w:lang w:eastAsia="ru-RU"/>
        </w:rPr>
      </w:pPr>
      <w:r w:rsidRPr="00294D3E">
        <w:rPr>
          <w:rFonts w:ascii="Times New Roman" w:hAnsi="Times New Roman"/>
          <w:lang w:eastAsia="ru-RU"/>
        </w:rPr>
        <w:t xml:space="preserve"> </w:t>
      </w:r>
      <w:r w:rsidRPr="00294D3E">
        <w:rPr>
          <w:rFonts w:ascii="Times New Roman" w:hAnsi="Times New Roman"/>
          <w:b/>
          <w:lang w:eastAsia="ru-RU"/>
        </w:rPr>
        <w:t>Задание 3.</w:t>
      </w: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  <w:r w:rsidRPr="00294D3E">
        <w:rPr>
          <w:rFonts w:ascii="Times New Roman" w:hAnsi="Times New Roman"/>
          <w:color w:val="221E1F"/>
          <w:lang w:eastAsia="ru-RU"/>
        </w:rPr>
        <w:t xml:space="preserve">Определите содержание перечисленных формул прикрепления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patriae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domicilii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societatis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rei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sitae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loci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actus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causae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loci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celebrationis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loci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laboris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,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lex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loci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delicti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 xml:space="preserve"> </w:t>
      </w:r>
      <w:proofErr w:type="spellStart"/>
      <w:r w:rsidRPr="00294D3E">
        <w:rPr>
          <w:rFonts w:ascii="Times New Roman" w:hAnsi="Times New Roman"/>
          <w:color w:val="221E1F"/>
          <w:lang w:eastAsia="ru-RU"/>
        </w:rPr>
        <w:t>commissi</w:t>
      </w:r>
      <w:proofErr w:type="spellEnd"/>
      <w:r w:rsidRPr="00294D3E">
        <w:rPr>
          <w:rFonts w:ascii="Times New Roman" w:hAnsi="Times New Roman"/>
          <w:color w:val="221E1F"/>
          <w:lang w:eastAsia="ru-RU"/>
        </w:rPr>
        <w:t>. Используются ли в России указанные формулы прикре</w:t>
      </w:r>
      <w:r w:rsidRPr="00294D3E">
        <w:rPr>
          <w:rFonts w:ascii="Times New Roman" w:hAnsi="Times New Roman"/>
          <w:color w:val="221E1F"/>
          <w:lang w:eastAsia="ru-RU"/>
        </w:rPr>
        <w:softHyphen/>
        <w:t xml:space="preserve">пления? При </w:t>
      </w:r>
      <w:r w:rsidRPr="00294D3E">
        <w:rPr>
          <w:rFonts w:ascii="Times New Roman" w:hAnsi="Times New Roman"/>
          <w:color w:val="221E1F"/>
          <w:lang w:eastAsia="ru-RU"/>
        </w:rPr>
        <w:lastRenderedPageBreak/>
        <w:t>положительном ответе приведите примеры из действующих нормативно-правовых актов РФ и международных договоров РФ по каждой из используемых в РФ формуле прикрепления.</w:t>
      </w:r>
    </w:p>
    <w:p w:rsidR="00911CCB" w:rsidRPr="00294D3E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</w:p>
    <w:p w:rsidR="00911CCB" w:rsidRPr="00294D3E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294D3E">
        <w:rPr>
          <w:rFonts w:ascii="Times New Roman" w:hAnsi="Times New Roman"/>
          <w:b/>
          <w:bCs/>
          <w:lang w:eastAsia="ru-RU"/>
        </w:rPr>
        <w:t>Вариант 2</w:t>
      </w: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</w:rPr>
        <w:t>Задача 1</w:t>
      </w:r>
      <w:r w:rsidRPr="00C903F6">
        <w:rPr>
          <w:rFonts w:cs="Times New Roman CYR"/>
          <w:b/>
        </w:rPr>
        <w:t>.</w:t>
      </w:r>
      <w:r w:rsidRPr="00C903F6">
        <w:rPr>
          <w:rFonts w:cs="Times New Roman CYR"/>
        </w:rPr>
        <w:t xml:space="preserve"> Английский дипломат господин Патрик вступил в брак с гражданкой России Сидоровой. Брак был зарегистрирован в загсе в г</w:t>
      </w:r>
      <w:proofErr w:type="gramStart"/>
      <w:r w:rsidRPr="00C903F6">
        <w:rPr>
          <w:rFonts w:cs="Times New Roman CYR"/>
        </w:rPr>
        <w:t>.М</w:t>
      </w:r>
      <w:proofErr w:type="gramEnd"/>
      <w:r w:rsidRPr="00C903F6">
        <w:rPr>
          <w:rFonts w:cs="Times New Roman CYR"/>
        </w:rPr>
        <w:t>оскве. После окончания срока своего пребывания в Москве г-н Патрик вернулся в Англию и ушел с дипломатической службы. Г-жа Сидорова уехать не смогла, так как ей не с кем было оставить престарелых родителей.</w:t>
      </w: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 w:rsidRPr="00C903F6">
        <w:rPr>
          <w:rFonts w:cs="Times New Roman CYR"/>
        </w:rPr>
        <w:t xml:space="preserve">Через некоторое время г-н Патрик сообщил, что он собирается жениться на женщине, которая ждет от него ребенка. </w:t>
      </w:r>
      <w:proofErr w:type="gramStart"/>
      <w:r w:rsidRPr="00C903F6">
        <w:rPr>
          <w:rFonts w:cs="Times New Roman CYR"/>
        </w:rPr>
        <w:t>Для ускорения расторжения брака в английском суде он попросил г-жу Сидорову засвидетельствовать у нотариуса в Москве документ, подтверждающий факт ее супружеской неверности, объясняя это тем, что в отличие от российского законодательства, не содержащего перечня оснований для судебного расторжения брака, в английском праве “супружеская неверность” является одним из бесспорных оснований такого рода.</w:t>
      </w:r>
      <w:proofErr w:type="gramEnd"/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 w:rsidRPr="00C903F6">
        <w:rPr>
          <w:rFonts w:cs="Times New Roman CYR"/>
        </w:rPr>
        <w:t>Г-жа Сидорова, не возражая против развода, обратилась к нотариусу.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proofErr w:type="gramStart"/>
      <w:r w:rsidRPr="00C903F6">
        <w:rPr>
          <w:rFonts w:cs="Times New Roman CYR"/>
          <w:i/>
          <w:iCs/>
        </w:rPr>
        <w:t>Будет ли в конечном итоге расторгнут</w:t>
      </w:r>
      <w:proofErr w:type="gramEnd"/>
      <w:r w:rsidRPr="00C903F6">
        <w:rPr>
          <w:rFonts w:cs="Times New Roman CYR"/>
          <w:i/>
          <w:iCs/>
        </w:rPr>
        <w:t xml:space="preserve"> вышеуказанный брак в судебном порядке?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r w:rsidRPr="00C903F6">
        <w:rPr>
          <w:rFonts w:cs="Times New Roman CYR"/>
          <w:i/>
          <w:iCs/>
        </w:rPr>
        <w:t>Если “да”, то каким образом?</w:t>
      </w: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</w:rPr>
        <w:t>Задача 2</w:t>
      </w:r>
      <w:r w:rsidRPr="00C903F6">
        <w:rPr>
          <w:rFonts w:cs="Times New Roman CYR"/>
          <w:b/>
        </w:rPr>
        <w:t>.</w:t>
      </w:r>
      <w:r w:rsidRPr="00C903F6">
        <w:rPr>
          <w:rFonts w:cs="Times New Roman CYR"/>
        </w:rPr>
        <w:t xml:space="preserve"> Между английской и российской фирмами были заключены договоры, предусматривающие поставку российским партнером английской фирме пиломатериалов из порта </w:t>
      </w:r>
      <w:proofErr w:type="spellStart"/>
      <w:r w:rsidRPr="00C903F6">
        <w:rPr>
          <w:rFonts w:cs="Times New Roman CYR"/>
        </w:rPr>
        <w:t>Мезени</w:t>
      </w:r>
      <w:proofErr w:type="spellEnd"/>
      <w:r w:rsidRPr="00C903F6">
        <w:rPr>
          <w:rFonts w:cs="Times New Roman CYR"/>
        </w:rPr>
        <w:t xml:space="preserve"> в порт </w:t>
      </w:r>
      <w:proofErr w:type="spellStart"/>
      <w:r w:rsidRPr="00C903F6">
        <w:rPr>
          <w:rFonts w:cs="Times New Roman CYR"/>
        </w:rPr>
        <w:t>Гримсби</w:t>
      </w:r>
      <w:proofErr w:type="spellEnd"/>
      <w:r w:rsidRPr="00C903F6">
        <w:rPr>
          <w:rFonts w:cs="Times New Roman CYR"/>
        </w:rPr>
        <w:t xml:space="preserve"> в срок до конца навигации 1998 года. Пиломатериалы были поставлены не в полном объеме. Английская фирма в 2002 году обратилась с иском к российскому предприятию в Международный коммерческий арбитражный суд при Торгово-промышленной палате РФ. Российское предприятие, не оспаривая факт недопоставки товара, в возражениях по иску заявило, что английской фирмой пропущен срок исковой давности для предъявления иска в соответствии с российским законодательством, поскольку спор рассматривается в Москве.</w:t>
      </w: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 w:rsidRPr="00C903F6">
        <w:rPr>
          <w:rFonts w:cs="Times New Roman CYR"/>
        </w:rPr>
        <w:t>Английская же фирма считала, что при рассмотрении спора должно применяться английское право, по которому срок исковой давности составляет 6 лет, поскольку договоры были заключены в Англии, составлены на английском языке, платежи предусмотрены в английской валюте на территории Англии.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r w:rsidRPr="00C903F6">
        <w:rPr>
          <w:rFonts w:cs="Times New Roman CYR"/>
          <w:i/>
          <w:iCs/>
        </w:rPr>
        <w:t xml:space="preserve">Решите вопрос применимом </w:t>
      </w:r>
      <w:proofErr w:type="gramStart"/>
      <w:r w:rsidRPr="00C903F6">
        <w:rPr>
          <w:rFonts w:cs="Times New Roman CYR"/>
          <w:i/>
          <w:iCs/>
        </w:rPr>
        <w:t>праве</w:t>
      </w:r>
      <w:proofErr w:type="gramEnd"/>
      <w:r w:rsidRPr="00C903F6">
        <w:rPr>
          <w:rFonts w:cs="Times New Roman CYR"/>
          <w:i/>
          <w:iCs/>
        </w:rPr>
        <w:t xml:space="preserve"> в отношении срока исковой давности.</w:t>
      </w:r>
    </w:p>
    <w:p w:rsidR="00911CCB" w:rsidRPr="00294D3E" w:rsidRDefault="00911CCB" w:rsidP="00911CCB">
      <w:pPr>
        <w:overflowPunct w:val="0"/>
        <w:ind w:firstLine="708"/>
        <w:jc w:val="both"/>
        <w:textAlignment w:val="baseline"/>
        <w:rPr>
          <w:rFonts w:ascii="Times New Roman" w:hAnsi="Times New Roman"/>
          <w:b/>
          <w:lang w:eastAsia="ru-RU"/>
        </w:rPr>
      </w:pPr>
      <w:r w:rsidRPr="00294D3E">
        <w:rPr>
          <w:rFonts w:ascii="Times New Roman" w:hAnsi="Times New Roman"/>
          <w:b/>
          <w:lang w:eastAsia="ru-RU"/>
        </w:rPr>
        <w:t xml:space="preserve">Задание 3. </w:t>
      </w: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  <w:r w:rsidRPr="00294D3E">
        <w:rPr>
          <w:rFonts w:ascii="Times New Roman" w:hAnsi="Times New Roman"/>
          <w:lang w:eastAsia="ru-RU"/>
        </w:rPr>
        <w:t xml:space="preserve">Сравните </w:t>
      </w:r>
      <w:proofErr w:type="gramStart"/>
      <w:r w:rsidRPr="00294D3E">
        <w:rPr>
          <w:rFonts w:ascii="Times New Roman" w:hAnsi="Times New Roman"/>
          <w:color w:val="221E1F"/>
          <w:lang w:eastAsia="ru-RU"/>
        </w:rPr>
        <w:t>коллизионный</w:t>
      </w:r>
      <w:proofErr w:type="gramEnd"/>
      <w:r w:rsidRPr="00294D3E">
        <w:rPr>
          <w:rFonts w:ascii="Times New Roman" w:hAnsi="Times New Roman"/>
          <w:color w:val="221E1F"/>
          <w:lang w:eastAsia="ru-RU"/>
        </w:rPr>
        <w:t xml:space="preserve"> и материально-правовой методы регулирования международных частноправовых отношений</w:t>
      </w:r>
      <w:r w:rsidRPr="00294D3E">
        <w:rPr>
          <w:rFonts w:ascii="Times New Roman" w:hAnsi="Times New Roman"/>
          <w:lang w:eastAsia="ru-RU"/>
        </w:rPr>
        <w:t xml:space="preserve"> не менее чем по пяти критериям.</w:t>
      </w: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  <w:r w:rsidRPr="00294D3E">
        <w:rPr>
          <w:rFonts w:ascii="Times New Roman" w:hAnsi="Times New Roman"/>
          <w:color w:val="221E1F"/>
          <w:lang w:eastAsia="ru-RU"/>
        </w:rPr>
        <w:t xml:space="preserve">Приведите по три примера, подтверждающих использование в Российской Федерации коллизионного и материально-правового методов регулирования международных частноправовых отношений. </w:t>
      </w:r>
    </w:p>
    <w:p w:rsidR="00911CCB" w:rsidRPr="00294D3E" w:rsidRDefault="00911CCB" w:rsidP="00911CCB">
      <w:pPr>
        <w:widowControl w:val="0"/>
        <w:overflowPunct w:val="0"/>
        <w:jc w:val="both"/>
        <w:textAlignment w:val="baseline"/>
        <w:rPr>
          <w:rFonts w:ascii="Times New Roman" w:hAnsi="Times New Roman"/>
          <w:lang w:eastAsia="ru-RU"/>
        </w:rPr>
      </w:pPr>
    </w:p>
    <w:p w:rsidR="00911CCB" w:rsidRPr="00294D3E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</w:p>
    <w:p w:rsidR="00911CCB" w:rsidRPr="00294D3E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294D3E">
        <w:rPr>
          <w:rFonts w:ascii="Times New Roman" w:hAnsi="Times New Roman"/>
          <w:b/>
          <w:bCs/>
          <w:lang w:eastAsia="ru-RU"/>
        </w:rPr>
        <w:t>Вариант 3</w:t>
      </w:r>
    </w:p>
    <w:p w:rsidR="00911CCB" w:rsidRPr="00294D3E" w:rsidRDefault="00911CCB" w:rsidP="00911CCB">
      <w:pPr>
        <w:overflowPunct w:val="0"/>
        <w:jc w:val="center"/>
        <w:textAlignment w:val="baseline"/>
        <w:rPr>
          <w:rFonts w:ascii="Times New Roman" w:hAnsi="Times New Roman"/>
          <w:lang w:eastAsia="ru-RU"/>
        </w:rPr>
      </w:pP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</w:rPr>
        <w:t>Задача 1</w:t>
      </w:r>
      <w:r w:rsidRPr="00C903F6">
        <w:rPr>
          <w:rFonts w:cs="Times New Roman CYR"/>
          <w:b/>
        </w:rPr>
        <w:t>.</w:t>
      </w:r>
      <w:r w:rsidRPr="00C903F6">
        <w:rPr>
          <w:rFonts w:cs="Times New Roman CYR"/>
        </w:rPr>
        <w:t xml:space="preserve"> Стороны, заключая внешнеторговый контракт, договорились о том, что к их договору подлежит применению российское право. В то же время они установили срок исковой давности в шесть лет. При рассмотрении их спора в Международном коммерческом арбитражном суде при Торгово-промышленной палате Российской Федерации возник спор о действительности соглашения об изменении срока исковой давности.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r w:rsidRPr="00C903F6">
        <w:rPr>
          <w:rFonts w:cs="Times New Roman CYR"/>
          <w:i/>
          <w:iCs/>
        </w:rPr>
        <w:t>Разрешите спор.</w:t>
      </w:r>
    </w:p>
    <w:p w:rsidR="00911CCB" w:rsidRPr="00C903F6" w:rsidRDefault="00911CCB" w:rsidP="00911CCB">
      <w:pPr>
        <w:jc w:val="both"/>
        <w:rPr>
          <w:rFonts w:cs="Times New Roman CYR"/>
        </w:rPr>
      </w:pP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 w:rsidRPr="00EC72D6">
        <w:rPr>
          <w:rFonts w:cs="Times New Roman CYR"/>
          <w:b/>
        </w:rPr>
        <w:t>Задача 2.</w:t>
      </w:r>
      <w:r w:rsidRPr="00C903F6">
        <w:rPr>
          <w:rFonts w:cs="Times New Roman CYR"/>
        </w:rPr>
        <w:t xml:space="preserve"> Проживавший в Омской области российский гражданин Т. немецкой национальности выехал на постоянное место жительства в ФРГ и получил там статус переселенца</w:t>
      </w:r>
      <w:proofErr w:type="gramStart"/>
      <w:r w:rsidRPr="00C903F6">
        <w:rPr>
          <w:rFonts w:cs="Times New Roman CYR"/>
        </w:rPr>
        <w:t>.</w:t>
      </w:r>
      <w:proofErr w:type="gramEnd"/>
      <w:r w:rsidRPr="00C903F6">
        <w:rPr>
          <w:rFonts w:cs="Times New Roman CYR"/>
        </w:rPr>
        <w:t xml:space="preserve"> </w:t>
      </w:r>
      <w:proofErr w:type="gramStart"/>
      <w:r w:rsidRPr="00C903F6">
        <w:rPr>
          <w:rFonts w:cs="Times New Roman CYR"/>
        </w:rPr>
        <w:t>в</w:t>
      </w:r>
      <w:proofErr w:type="gramEnd"/>
      <w:r w:rsidRPr="00C903F6">
        <w:rPr>
          <w:rFonts w:cs="Times New Roman CYR"/>
        </w:rPr>
        <w:t xml:space="preserve"> России у него остался дом и гараж в сельской местности и движимое имущество (автомашина и др.). В отношении права собственности на дом возник спор между Т. и его родственником, также выехавшим в ФРГ. Иск предъявлен в немецком суде.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r w:rsidRPr="00C903F6">
        <w:rPr>
          <w:rFonts w:cs="Times New Roman CYR"/>
          <w:i/>
          <w:iCs/>
        </w:rPr>
        <w:t xml:space="preserve">Сохраняется ли право собственности за Т. на имущество, оставшееся в России? </w:t>
      </w:r>
      <w:proofErr w:type="gramStart"/>
      <w:r w:rsidRPr="00C903F6">
        <w:rPr>
          <w:rFonts w:cs="Times New Roman CYR"/>
          <w:i/>
          <w:iCs/>
        </w:rPr>
        <w:t>Право</w:t>
      </w:r>
      <w:proofErr w:type="gramEnd"/>
      <w:r w:rsidRPr="00C903F6">
        <w:rPr>
          <w:rFonts w:cs="Times New Roman CYR"/>
          <w:i/>
          <w:iCs/>
        </w:rPr>
        <w:t xml:space="preserve"> какой страны будет применяться при разрешении имущественного спора?</w:t>
      </w:r>
    </w:p>
    <w:p w:rsidR="00911CCB" w:rsidRPr="00C903F6" w:rsidRDefault="00911CCB" w:rsidP="00911CCB">
      <w:pPr>
        <w:jc w:val="both"/>
        <w:rPr>
          <w:rFonts w:cs="Times New Roman CYR"/>
        </w:rPr>
      </w:pPr>
    </w:p>
    <w:p w:rsidR="00911CCB" w:rsidRPr="00294D3E" w:rsidRDefault="00911CCB" w:rsidP="00911CCB">
      <w:pPr>
        <w:overflowPunct w:val="0"/>
        <w:ind w:firstLine="708"/>
        <w:jc w:val="both"/>
        <w:textAlignment w:val="baseline"/>
        <w:rPr>
          <w:rFonts w:ascii="Times New Roman" w:hAnsi="Times New Roman"/>
          <w:b/>
          <w:lang w:eastAsia="ru-RU"/>
        </w:rPr>
      </w:pPr>
      <w:r w:rsidRPr="00294D3E">
        <w:rPr>
          <w:rFonts w:ascii="Times New Roman" w:hAnsi="Times New Roman"/>
          <w:b/>
          <w:lang w:eastAsia="ru-RU"/>
        </w:rPr>
        <w:t xml:space="preserve">Задание </w:t>
      </w:r>
      <w:r w:rsidRPr="00EC72D6">
        <w:rPr>
          <w:rFonts w:ascii="Times New Roman" w:hAnsi="Times New Roman"/>
          <w:b/>
          <w:lang w:eastAsia="ru-RU"/>
        </w:rPr>
        <w:t>3.</w:t>
      </w: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  <w:r w:rsidRPr="00294D3E">
        <w:rPr>
          <w:rFonts w:ascii="Times New Roman" w:hAnsi="Times New Roman"/>
          <w:lang w:eastAsia="ru-RU"/>
        </w:rPr>
        <w:t>Заполните таблицу, сравнив процессы гармонизации и унификации норм МЧП по предложенным критериям:</w:t>
      </w: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85"/>
        <w:gridCol w:w="3485"/>
      </w:tblGrid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>Критерии для сравнения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 xml:space="preserve">Гармонизация МЧП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>Унификация МЧП</w:t>
            </w:r>
          </w:p>
        </w:tc>
      </w:tr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 xml:space="preserve">Понятие терминов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>Особенности процедуры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>Правовое регулирование процессов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>Виды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>Субъекты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>Результат процессов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11CCB" w:rsidRPr="00294D3E" w:rsidTr="00252A5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294D3E">
              <w:rPr>
                <w:rFonts w:ascii="Times New Roman" w:hAnsi="Times New Roman"/>
                <w:lang w:eastAsia="ru-RU"/>
              </w:rPr>
              <w:t xml:space="preserve">Примеры актов, ставших результатом соответствующего процесса (не менее трех)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CB" w:rsidRPr="00294D3E" w:rsidRDefault="00911CCB" w:rsidP="00252A5A">
            <w:pPr>
              <w:overflowPunct w:val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</w:tbl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</w:p>
    <w:p w:rsidR="00911CCB" w:rsidRPr="00294D3E" w:rsidRDefault="00911CCB" w:rsidP="00911CCB">
      <w:pPr>
        <w:overflowPunct w:val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294D3E">
        <w:rPr>
          <w:rFonts w:ascii="Times New Roman" w:hAnsi="Times New Roman"/>
          <w:b/>
          <w:bCs/>
          <w:lang w:eastAsia="ru-RU"/>
        </w:rPr>
        <w:t>Вариант 4</w:t>
      </w: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</w:p>
    <w:p w:rsidR="00911CCB" w:rsidRPr="00C903F6" w:rsidRDefault="00911CCB" w:rsidP="00911CCB">
      <w:pPr>
        <w:jc w:val="both"/>
        <w:rPr>
          <w:rFonts w:cs="Times New Roman CYR"/>
        </w:rPr>
      </w:pP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</w:rPr>
        <w:t>Задача 1</w:t>
      </w:r>
      <w:r w:rsidRPr="00C903F6">
        <w:rPr>
          <w:rFonts w:cs="Times New Roman CYR"/>
          <w:b/>
        </w:rPr>
        <w:t>.</w:t>
      </w:r>
      <w:r w:rsidRPr="00C903F6">
        <w:rPr>
          <w:rFonts w:cs="Times New Roman CYR"/>
        </w:rPr>
        <w:t xml:space="preserve"> В мае 1993 года российская организация (продавец) и фирма с местом нахождения на Кипре (покупатель) заключили контракт, в соответствии с которым продавец должен был поставить покупателю двумя партиями товар. Однако поставка осуществлена не была, контракт между сторонами </w:t>
      </w:r>
      <w:proofErr w:type="gramStart"/>
      <w:r w:rsidRPr="00C903F6">
        <w:rPr>
          <w:rFonts w:cs="Times New Roman CYR"/>
        </w:rPr>
        <w:t>был</w:t>
      </w:r>
      <w:proofErr w:type="gramEnd"/>
      <w:r w:rsidRPr="00C903F6">
        <w:rPr>
          <w:rFonts w:cs="Times New Roman CYR"/>
        </w:rPr>
        <w:t xml:space="preserve"> расторгнут. Покупатель в своем исковом заявлении в Международный коммерческий арбитражный суд при Торгово-промышленной палате Российской Федерации требовал взыскать с продавца суммы невозвращенной предоплаты, проценты за пользование чужими средствами, возмещение упущенной выгоды и штраф за просрочку поставки. Продавец возражал против требований покупателя и одновременно предъявил встречный иск. Контракт оговорки о применимом праве не содержит. Стороны в основном и встречном иске обосновывают свои требования в соответствии с правом Российской Федерации. 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r w:rsidRPr="00C903F6">
        <w:rPr>
          <w:rFonts w:cs="Times New Roman CYR"/>
          <w:i/>
          <w:iCs/>
        </w:rPr>
        <w:t xml:space="preserve">В какой форме стороны могут зафиксировать сделанный ими выбор применимого права? </w:t>
      </w:r>
      <w:proofErr w:type="gramStart"/>
      <w:r w:rsidRPr="00C903F6">
        <w:rPr>
          <w:rFonts w:cs="Times New Roman CYR"/>
          <w:i/>
          <w:iCs/>
        </w:rPr>
        <w:t>Право</w:t>
      </w:r>
      <w:proofErr w:type="gramEnd"/>
      <w:r w:rsidRPr="00C903F6">
        <w:rPr>
          <w:rFonts w:cs="Times New Roman CYR"/>
          <w:i/>
          <w:iCs/>
        </w:rPr>
        <w:t xml:space="preserve"> какой страны будет применять суд при рассмотрении данного спора?</w:t>
      </w:r>
    </w:p>
    <w:p w:rsidR="00911CCB" w:rsidRPr="00C903F6" w:rsidRDefault="00911CCB" w:rsidP="00911CCB">
      <w:pPr>
        <w:jc w:val="both"/>
        <w:rPr>
          <w:rFonts w:cs="Times New Roman CYR"/>
          <w:i/>
          <w:iCs/>
        </w:rPr>
      </w:pPr>
    </w:p>
    <w:p w:rsidR="00911CCB" w:rsidRPr="00C903F6" w:rsidRDefault="00911CCB" w:rsidP="00911CCB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</w:rPr>
        <w:lastRenderedPageBreak/>
        <w:t>Задача 2</w:t>
      </w:r>
      <w:r w:rsidRPr="00C903F6">
        <w:rPr>
          <w:rFonts w:cs="Times New Roman CYR"/>
          <w:b/>
        </w:rPr>
        <w:t>.</w:t>
      </w:r>
      <w:r w:rsidRPr="00C903F6">
        <w:rPr>
          <w:rFonts w:cs="Times New Roman CYR"/>
        </w:rPr>
        <w:t xml:space="preserve"> Нидерландский музей заключил с германским фондом договор об обмене одной из картин кисти Рубенса на автопортрет </w:t>
      </w:r>
      <w:proofErr w:type="spellStart"/>
      <w:r w:rsidRPr="00C903F6">
        <w:rPr>
          <w:rFonts w:cs="Times New Roman CYR"/>
        </w:rPr>
        <w:t>Лукаса</w:t>
      </w:r>
      <w:proofErr w:type="spellEnd"/>
      <w:r w:rsidRPr="00C903F6">
        <w:rPr>
          <w:rFonts w:cs="Times New Roman CYR"/>
        </w:rPr>
        <w:t xml:space="preserve"> </w:t>
      </w:r>
      <w:proofErr w:type="spellStart"/>
      <w:r w:rsidRPr="00C903F6">
        <w:rPr>
          <w:rFonts w:cs="Times New Roman CYR"/>
        </w:rPr>
        <w:t>Кранаха</w:t>
      </w:r>
      <w:proofErr w:type="spellEnd"/>
      <w:r w:rsidRPr="00C903F6">
        <w:rPr>
          <w:rFonts w:cs="Times New Roman CYR"/>
        </w:rPr>
        <w:t>. Договор составлен на английском языке, причем в нем применяются специфические именно для английского права термины права купли-продажи товаров. Переговоры в основном происходили в Нидерландах, где и был подписан текст договора. Прямо выраженного условия о применении права в договоре не имеется.</w:t>
      </w:r>
    </w:p>
    <w:p w:rsidR="00911CCB" w:rsidRPr="00C903F6" w:rsidRDefault="00911CCB" w:rsidP="00911CCB">
      <w:pPr>
        <w:ind w:firstLine="708"/>
        <w:jc w:val="both"/>
        <w:rPr>
          <w:rFonts w:cs="Times New Roman CYR"/>
          <w:i/>
          <w:iCs/>
        </w:rPr>
      </w:pPr>
      <w:r w:rsidRPr="00C903F6">
        <w:rPr>
          <w:rFonts w:cs="Times New Roman CYR"/>
          <w:i/>
          <w:iCs/>
        </w:rPr>
        <w:t xml:space="preserve">Какое право подлежит применению к договору мены? </w:t>
      </w:r>
      <w:proofErr w:type="gramStart"/>
      <w:r w:rsidRPr="00C903F6">
        <w:rPr>
          <w:rFonts w:cs="Times New Roman CYR"/>
          <w:i/>
          <w:iCs/>
        </w:rPr>
        <w:t>Право</w:t>
      </w:r>
      <w:proofErr w:type="gramEnd"/>
      <w:r w:rsidRPr="00C903F6">
        <w:rPr>
          <w:rFonts w:cs="Times New Roman CYR"/>
          <w:i/>
          <w:iCs/>
        </w:rPr>
        <w:t xml:space="preserve"> какой страны будет применяться судом при рассмотрении судом возможных споров по данному контракту?</w:t>
      </w:r>
    </w:p>
    <w:p w:rsidR="00911CCB" w:rsidRDefault="00911CCB" w:rsidP="00911CCB">
      <w:pPr>
        <w:overflowPunct w:val="0"/>
        <w:jc w:val="both"/>
        <w:textAlignment w:val="baseline"/>
        <w:rPr>
          <w:rFonts w:ascii="Times New Roman" w:hAnsi="Times New Roman"/>
          <w:lang w:eastAsia="ru-RU"/>
        </w:rPr>
      </w:pPr>
    </w:p>
    <w:p w:rsidR="00911CCB" w:rsidRPr="00294D3E" w:rsidRDefault="00911CCB" w:rsidP="00911CCB">
      <w:pPr>
        <w:overflowPunct w:val="0"/>
        <w:ind w:firstLine="708"/>
        <w:jc w:val="both"/>
        <w:textAlignment w:val="baseline"/>
        <w:rPr>
          <w:rFonts w:ascii="Times New Roman" w:hAnsi="Times New Roman"/>
          <w:b/>
          <w:lang w:eastAsia="ru-RU"/>
        </w:rPr>
      </w:pPr>
      <w:r w:rsidRPr="00294D3E">
        <w:rPr>
          <w:rFonts w:ascii="Times New Roman" w:hAnsi="Times New Roman"/>
          <w:b/>
          <w:lang w:eastAsia="ru-RU"/>
        </w:rPr>
        <w:t>Задание</w:t>
      </w:r>
      <w:r w:rsidRPr="00E370E9">
        <w:rPr>
          <w:rFonts w:ascii="Times New Roman" w:hAnsi="Times New Roman"/>
          <w:b/>
          <w:lang w:eastAsia="ru-RU"/>
        </w:rPr>
        <w:t xml:space="preserve"> 3.</w:t>
      </w:r>
    </w:p>
    <w:p w:rsidR="00911CCB" w:rsidRPr="00294D3E" w:rsidRDefault="00911CCB" w:rsidP="00911CCB">
      <w:pPr>
        <w:overflowPunct w:val="0"/>
        <w:jc w:val="both"/>
        <w:textAlignment w:val="baseline"/>
        <w:rPr>
          <w:rFonts w:ascii="Times New Roman" w:hAnsi="Times New Roman"/>
          <w:color w:val="221E1F"/>
          <w:lang w:eastAsia="ru-RU"/>
        </w:rPr>
      </w:pPr>
      <w:r w:rsidRPr="00294D3E">
        <w:rPr>
          <w:rFonts w:ascii="Times New Roman" w:hAnsi="Times New Roman"/>
          <w:lang w:eastAsia="ru-RU"/>
        </w:rPr>
        <w:t>Раскройте особенности каждого из видов коллизионных норм:</w:t>
      </w:r>
      <w:r w:rsidRPr="00294D3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94D3E">
        <w:rPr>
          <w:rFonts w:ascii="Times New Roman" w:hAnsi="Times New Roman"/>
          <w:lang w:eastAsia="ru-RU"/>
        </w:rPr>
        <w:t xml:space="preserve">односторонних, двусторонних, основных (генеральных), субсидиарных, императивных, диспозитивных и альтернативных. Используются ли в российском законодательстве или международных договорах РФ указанные виды коллизионных норм? При положительном ответе приведите примеры из действующих нормативно-правовых актов РФ и международных договоров РФ соответствующих видов коллизионных норм </w:t>
      </w:r>
      <w:r w:rsidRPr="00294D3E">
        <w:rPr>
          <w:rFonts w:ascii="Times New Roman" w:hAnsi="Times New Roman"/>
          <w:color w:val="221E1F"/>
          <w:lang w:eastAsia="ru-RU"/>
        </w:rPr>
        <w:t>(не менее 2 по каждому виду со ссыл</w:t>
      </w:r>
      <w:r w:rsidRPr="00294D3E">
        <w:rPr>
          <w:rFonts w:ascii="Times New Roman" w:hAnsi="Times New Roman"/>
          <w:color w:val="221E1F"/>
          <w:lang w:eastAsia="ru-RU"/>
        </w:rPr>
        <w:softHyphen/>
        <w:t xml:space="preserve">ками на правовые источники). </w:t>
      </w:r>
    </w:p>
    <w:p w:rsidR="00911CCB" w:rsidRPr="00F00D0C" w:rsidRDefault="00911CCB" w:rsidP="00911CCB">
      <w:pPr>
        <w:jc w:val="center"/>
        <w:rPr>
          <w:rFonts w:cs="Times New Roman CYR"/>
          <w:b/>
          <w:bCs/>
          <w:sz w:val="28"/>
          <w:szCs w:val="28"/>
        </w:rPr>
      </w:pPr>
    </w:p>
    <w:p w:rsidR="00911CCB" w:rsidRPr="00EB189A" w:rsidRDefault="00911CCB" w:rsidP="00911CCB">
      <w:pPr>
        <w:ind w:left="720"/>
        <w:jc w:val="center"/>
        <w:rPr>
          <w:b/>
        </w:rPr>
      </w:pPr>
      <w:r w:rsidRPr="00EB189A">
        <w:rPr>
          <w:b/>
        </w:rPr>
        <w:t>В</w:t>
      </w:r>
      <w:r>
        <w:rPr>
          <w:b/>
        </w:rPr>
        <w:t>опросы</w:t>
      </w:r>
      <w:r w:rsidRPr="00EB189A">
        <w:rPr>
          <w:b/>
        </w:rPr>
        <w:t xml:space="preserve"> для </w:t>
      </w:r>
      <w:r>
        <w:rPr>
          <w:b/>
        </w:rPr>
        <w:t>экзамена</w:t>
      </w:r>
    </w:p>
    <w:p w:rsidR="00911CCB" w:rsidRPr="00C903F6" w:rsidRDefault="00911CCB" w:rsidP="00911CCB">
      <w:pPr>
        <w:numPr>
          <w:ilvl w:val="0"/>
          <w:numId w:val="1"/>
        </w:numPr>
      </w:pPr>
      <w:r>
        <w:t>Понятие международного частного права</w:t>
      </w:r>
      <w:r w:rsidRPr="00C903F6">
        <w:t>. Предмет, определение.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Место и роль </w:t>
      </w:r>
      <w:r>
        <w:t>международного частного права</w:t>
      </w:r>
      <w:r w:rsidRPr="00C903F6">
        <w:t xml:space="preserve"> в системе права.</w:t>
      </w:r>
      <w:r w:rsidRPr="00C903F6">
        <w:tab/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Нормативная структура </w:t>
      </w:r>
      <w:r>
        <w:t>международного частного права</w:t>
      </w:r>
      <w:r w:rsidRPr="00C903F6">
        <w:t>. Отношения, регулируемые нормами международного частного права.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Соотношение </w:t>
      </w:r>
      <w:r>
        <w:t>международного частного права</w:t>
      </w:r>
      <w:r w:rsidRPr="00C903F6">
        <w:t xml:space="preserve"> с национальным правом (гражданским, семейным, процессуальным и др.) и международным публичным правом.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Источники </w:t>
      </w:r>
      <w:r>
        <w:t>международного частного права</w:t>
      </w:r>
      <w:r w:rsidRPr="00C903F6">
        <w:t>, их перечень и двойственный характер.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Внутреннее законодательство.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Международные договоры в области </w:t>
      </w:r>
      <w:r>
        <w:t>международного частного права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Международные обычаи. Обычаи международной торговли, торговые обыкновения. Судебная и арбитражная практика как ис</w:t>
      </w:r>
      <w:r w:rsidRPr="00C903F6">
        <w:softHyphen/>
        <w:t xml:space="preserve">точник </w:t>
      </w:r>
      <w:r>
        <w:t>международного частного права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proofErr w:type="gramStart"/>
      <w:r w:rsidRPr="00C903F6">
        <w:t>Коллизионный</w:t>
      </w:r>
      <w:proofErr w:type="gramEnd"/>
      <w:r w:rsidRPr="00C903F6">
        <w:t xml:space="preserve"> и материально-правовой методы регулирова</w:t>
      </w:r>
      <w:r w:rsidRPr="00C903F6">
        <w:softHyphen/>
        <w:t>ния.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Коллизионное право — центральная часть </w:t>
      </w:r>
      <w:r>
        <w:t>международного частного права</w:t>
      </w:r>
      <w:r w:rsidRPr="00C903F6">
        <w:t>. Коллизи</w:t>
      </w:r>
      <w:r w:rsidRPr="00C903F6">
        <w:softHyphen/>
        <w:t>онный вопрос.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Коллизионная норма, ее строение и особенности. Виды кол</w:t>
      </w:r>
      <w:r w:rsidRPr="00C903F6">
        <w:softHyphen/>
        <w:t>лизионных норм.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Основные коллизионные привязки (формулы прикрепле</w:t>
      </w:r>
      <w:r w:rsidRPr="00C903F6">
        <w:softHyphen/>
        <w:t>ния).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Обратная отсылка и отсылка к праву третьего государства.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Оговорка о публичном порядке.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Национальный режим и режим наибольшего благоприятст</w:t>
      </w:r>
      <w:r w:rsidRPr="00C903F6">
        <w:softHyphen/>
        <w:t>вования.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Виды взаимности в </w:t>
      </w:r>
      <w:r>
        <w:t>международном частном праве</w:t>
      </w:r>
      <w:r w:rsidRPr="00C903F6">
        <w:t>. Реторсия.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Физические лица как субъекты </w:t>
      </w:r>
      <w:r>
        <w:t>международного частного права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Юридические лица как субъекты </w:t>
      </w:r>
      <w:r>
        <w:t>международного частного права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Критерии определения национальности юридического лица.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Предприятия с иностранными инвестициями.</w:t>
      </w:r>
    </w:p>
    <w:p w:rsidR="00911CCB" w:rsidRPr="005D2FC1" w:rsidRDefault="00911CCB" w:rsidP="00911CCB">
      <w:pPr>
        <w:numPr>
          <w:ilvl w:val="0"/>
          <w:numId w:val="1"/>
        </w:numPr>
      </w:pPr>
      <w:r w:rsidRPr="00C903F6">
        <w:t xml:space="preserve">Государство как субъект </w:t>
      </w:r>
      <w:r>
        <w:t>международного частного права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Виды иммунитетов государства. Концепции абсолютного иммунитета и концепция ограниченного (функционального) имму</w:t>
      </w:r>
      <w:r w:rsidRPr="00C903F6">
        <w:softHyphen/>
        <w:t>нитета.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Коллизионные вопросы права собственности в </w:t>
      </w:r>
      <w:r>
        <w:t>международном частном праве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Правовое регулирование иностранных инвестиций.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Внешнеэкономические сделки, их понятие, содержание и виды.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Сфера действия обязательственного статута. Форма внеш</w:t>
      </w:r>
      <w:r w:rsidRPr="00C903F6">
        <w:softHyphen/>
        <w:t>неторговой сделки.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lastRenderedPageBreak/>
        <w:t>Коллизионные вопросы внешнеэкономических сделок.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Принцип автономии воли сторон во внешнеэкономических сделках.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Международный торговый обычай во внешнеторговых сдел</w:t>
      </w:r>
      <w:r w:rsidRPr="00C903F6">
        <w:softHyphen/>
        <w:t>ках.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Международные унифицированные нормы по внешнеэконо</w:t>
      </w:r>
      <w:r w:rsidRPr="00C903F6">
        <w:softHyphen/>
        <w:t>мическим сделкам.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Отдельные виды внешнеэкономических сделок: купля-продажа, концессия, передача ноу-хау, подряд.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Понятие международной перевозки.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Железнодорожные перевозки.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Автомобильные перевозки.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Воздушные перевозки.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Морские перевозки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Международное частное валютное право.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Коллизионные вопросы векселя и чека.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Коллизионные вопросы обязательств из причинения вреда.</w:t>
      </w:r>
    </w:p>
    <w:p w:rsidR="00911CCB" w:rsidRPr="00C903F6" w:rsidRDefault="00911CCB" w:rsidP="00911CCB">
      <w:pPr>
        <w:numPr>
          <w:ilvl w:val="0"/>
          <w:numId w:val="1"/>
        </w:numPr>
      </w:pPr>
      <w:proofErr w:type="spellStart"/>
      <w:r w:rsidRPr="00C903F6">
        <w:t>Деликтные</w:t>
      </w:r>
      <w:proofErr w:type="spellEnd"/>
      <w:r w:rsidRPr="00C903F6">
        <w:t xml:space="preserve"> обязательства в Российской Федерации и причи</w:t>
      </w:r>
      <w:r w:rsidRPr="00C903F6">
        <w:softHyphen/>
        <w:t>нение вреда за рубежом.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Коллизионные вопросы интеллектуальной собственности.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Особенности международной охраны авторских прав. Зако</w:t>
      </w:r>
      <w:r w:rsidRPr="00C903F6">
        <w:softHyphen/>
        <w:t>нодательство Российской Федерации и международная охрана ав</w:t>
      </w:r>
      <w:r w:rsidRPr="00C903F6">
        <w:softHyphen/>
        <w:t>торских прав.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Многосторонние международные соглашения в области ав</w:t>
      </w:r>
      <w:r w:rsidRPr="00C903F6">
        <w:softHyphen/>
        <w:t>торского права.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Коллизионные вопросы патентного права.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Российское законодательство и международная охрана изо</w:t>
      </w:r>
      <w:r w:rsidRPr="00C903F6">
        <w:softHyphen/>
        <w:t>бретений.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Международные соглашения об охране прав на изобрете</w:t>
      </w:r>
      <w:r w:rsidRPr="00C903F6">
        <w:softHyphen/>
        <w:t>ния, промышленные образцы и товарные знаки. Содержание ли</w:t>
      </w:r>
      <w:r w:rsidRPr="00C903F6">
        <w:softHyphen/>
        <w:t>цензионных соглашений и понятие конвенционного приоритета.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Коллизионные вопросы семейного права.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Заключение и расторжение брака, имущественные и личные отношения между супругами в </w:t>
      </w:r>
      <w:r>
        <w:t>международном частном праве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Взаимоотношение между родителями и детьми, вопросы усыновления, опеки и попечительства в </w:t>
      </w:r>
      <w:r>
        <w:t>международном частном праве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Коллизионные вопросы наследственного права.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Наследственные права иностранцев в России и наследствен</w:t>
      </w:r>
      <w:r w:rsidRPr="00C903F6">
        <w:softHyphen/>
        <w:t>ные права российских граждан за границей.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Международные трудовые отношения и коллизионные во</w:t>
      </w:r>
      <w:r w:rsidRPr="00C903F6">
        <w:softHyphen/>
        <w:t>просы трудовых отношений.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Трудовые права иностранцев в России и трудовые права российских граждан за рубежом.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Понятие международного гражданского процесса.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Определение подсудности и пророгационные соглашения.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Право на судебную защиту и гражданские процессуальные права иностранцев в Российской Федерации.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Процессуальное положение иностранного государства.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Установление содержания иностранного права, его толкова</w:t>
      </w:r>
      <w:r w:rsidRPr="00C903F6">
        <w:softHyphen/>
        <w:t>ние и применение.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Исполнение иностранных судебных поручений.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Признание и исполнение иностранных судебных решений.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 xml:space="preserve">Нотариальные действия в </w:t>
      </w:r>
      <w:r>
        <w:t>международном частном праве</w:t>
      </w:r>
      <w:r w:rsidRPr="00C903F6">
        <w:t>.</w:t>
      </w:r>
    </w:p>
    <w:p w:rsidR="00911CCB" w:rsidRPr="00C903F6" w:rsidRDefault="00911CCB" w:rsidP="00911CCB">
      <w:pPr>
        <w:numPr>
          <w:ilvl w:val="0"/>
          <w:numId w:val="1"/>
        </w:numPr>
      </w:pPr>
      <w:r>
        <w:t>Понятие международного коммерческого арбитража</w:t>
      </w:r>
      <w:r w:rsidRPr="00C903F6">
        <w:t xml:space="preserve"> и виды арбитражных судов.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Арбитражное соглашение, его виды и последствия.</w:t>
      </w:r>
    </w:p>
    <w:p w:rsidR="00911CCB" w:rsidRPr="00C903F6" w:rsidRDefault="00911CCB" w:rsidP="00911CCB">
      <w:pPr>
        <w:numPr>
          <w:ilvl w:val="0"/>
          <w:numId w:val="1"/>
        </w:numPr>
      </w:pPr>
      <w:r w:rsidRPr="00C903F6">
        <w:t>Особенности арбитражного рассмотрения инвестиционных споров.</w:t>
      </w:r>
    </w:p>
    <w:p w:rsidR="00911CCB" w:rsidRDefault="00911CCB" w:rsidP="00911CCB">
      <w:pPr>
        <w:numPr>
          <w:ilvl w:val="0"/>
          <w:numId w:val="1"/>
        </w:numPr>
      </w:pPr>
      <w:r w:rsidRPr="00C903F6">
        <w:t>Признание и исполнение арбитражных решений.</w:t>
      </w:r>
    </w:p>
    <w:p w:rsidR="00355E8C" w:rsidRDefault="00355E8C"/>
    <w:sectPr w:rsidR="00355E8C" w:rsidSect="003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A75"/>
    <w:multiLevelType w:val="hybridMultilevel"/>
    <w:tmpl w:val="450A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CCB"/>
    <w:rsid w:val="002A6E82"/>
    <w:rsid w:val="00355E8C"/>
    <w:rsid w:val="00911CCB"/>
    <w:rsid w:val="00AE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B"/>
    <w:pPr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A6E82"/>
    <w:pPr>
      <w:widowControl w:val="0"/>
      <w:autoSpaceDE/>
      <w:autoSpaceDN/>
      <w:adjustRightInd/>
      <w:ind w:left="102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A6E8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A6E82"/>
    <w:pPr>
      <w:widowControl w:val="0"/>
      <w:autoSpaceDE/>
      <w:autoSpaceDN/>
      <w:adjustRightInd/>
      <w:ind w:left="102"/>
      <w:outlineLvl w:val="1"/>
    </w:pPr>
    <w:rPr>
      <w:rFonts w:ascii="Times New Roman" w:eastAsia="Times New Roman" w:hAnsi="Times New Roman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12262</Characters>
  <Application>Microsoft Office Word</Application>
  <DocSecurity>0</DocSecurity>
  <Lines>102</Lines>
  <Paragraphs>28</Paragraphs>
  <ScaleCrop>false</ScaleCrop>
  <Company>Microsoft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2015-10-28T07:22:00Z</dcterms:created>
  <dcterms:modified xsi:type="dcterms:W3CDTF">2015-11-25T12:29:00Z</dcterms:modified>
</cp:coreProperties>
</file>